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附：</w:t>
      </w:r>
      <w:bookmarkStart w:id="0" w:name="_GoBack"/>
      <w:bookmarkEnd w:id="0"/>
    </w:p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韵动中黑_襄阳日报_GBK" w:hAnsi="方正韵动中黑_襄阳日报_GBK" w:eastAsia="方正韵动中黑_襄阳日报_GBK" w:cs="方正韵动中黑_襄阳日报_GBK"/>
          <w:i w:val="0"/>
          <w:caps w:val="0"/>
          <w:color w:val="000000"/>
          <w:spacing w:val="0"/>
          <w:sz w:val="44"/>
          <w:szCs w:val="44"/>
          <w:lang w:val="en-US" w:eastAsia="zh-CN"/>
        </w:rPr>
        <w:t>展示部分及现场施工报价表</w:t>
      </w:r>
    </w:p>
    <w:tbl>
      <w:tblPr>
        <w:tblStyle w:val="3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985"/>
        <w:gridCol w:w="1110"/>
        <w:gridCol w:w="162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项目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墙面基础画面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（车贴/油画布）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墙面立体字（pvc烤漆/亚克力精工板）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墙面立体字（发光字）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墙面造型展板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实物展示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展示灯光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拼接屏（租）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站立感应块</w:t>
            </w:r>
          </w:p>
        </w:tc>
        <w:tc>
          <w:tcPr>
            <w:tcW w:w="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95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韵动中黑_襄阳日报_GBK" w:hAnsi="方正韵动中黑_襄阳日报_GBK" w:eastAsia="方正韵动中黑_襄阳日报_GBK" w:cs="方正韵动中黑_襄阳日报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222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韵动中黑_襄阳日报_GBK" w:hAnsi="方正韵动中黑_襄阳日报_GBK" w:eastAsia="方正韵动中黑_襄阳日报_GBK" w:cs="方正韵动中黑_襄阳日报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韵动中黑_襄阳日报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81264"/>
    <w:rsid w:val="2F51184C"/>
    <w:rsid w:val="53F90055"/>
    <w:rsid w:val="6DC81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2020-11-17T10:27:00Z</dcterms:created>
  <dc:creator>袁政</dc:creator>
  <cp:lastModifiedBy>那逸夫</cp:lastModifiedBy>
  <dcterms:modified xsi:type="dcterms:W3CDTF">2020-11-17T10:42:26Z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